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highlight w:val="none"/>
        </w:rPr>
        <w:t>2025年“少年中国说”全球华裔新生代</w:t>
      </w:r>
    </w:p>
    <w:p>
      <w:pPr>
        <w:spacing w:line="600" w:lineRule="exact"/>
        <w:ind w:firstLine="0"/>
        <w:jc w:val="center"/>
        <w:rPr>
          <w:rFonts w:hint="eastAsia" w:ascii="Times New Roman" w:hAnsi="Times New Roman" w:eastAsia="仿宋_GB2312"/>
          <w:b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highlight w:val="none"/>
        </w:rPr>
        <w:t>中文朗诵大赛及研学活动项目评审表</w:t>
      </w:r>
    </w:p>
    <w:p>
      <w:pPr>
        <w:spacing w:line="600" w:lineRule="exact"/>
        <w:jc w:val="left"/>
        <w:rPr>
          <w:rFonts w:hint="eastAsia" w:eastAsia="仿宋_GB2312"/>
          <w:b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spacing w:line="600" w:lineRule="exact"/>
        <w:jc w:val="left"/>
      </w:pPr>
      <w:r>
        <w:rPr>
          <w:rFonts w:hint="eastAsia" w:eastAsia="仿宋_GB2312"/>
          <w:b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供应方</w:t>
      </w:r>
      <w:r>
        <w:rPr>
          <w:rFonts w:hint="eastAsia" w:ascii="Times New Roman" w:hAnsi="Times New Roman" w:eastAsia="仿宋_GB2312"/>
          <w:b/>
          <w:snapToGrid w:val="0"/>
          <w:color w:val="auto"/>
          <w:kern w:val="0"/>
          <w:sz w:val="28"/>
          <w:szCs w:val="28"/>
          <w:highlight w:val="none"/>
        </w:rPr>
        <w:t>名称：</w:t>
      </w:r>
    </w:p>
    <w:tbl>
      <w:tblPr>
        <w:tblStyle w:val="8"/>
        <w:tblW w:w="868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720"/>
        <w:gridCol w:w="4726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  <w:t>评分项目/权重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  <w:t>评标因素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  <w:t>评标指标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b/>
                <w:color w:val="auto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技术评分</w:t>
            </w:r>
          </w:p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（60分）</w:t>
            </w:r>
          </w:p>
          <w:p>
            <w:pPr>
              <w:pStyle w:val="6"/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项目理解程度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考查、对比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对项目整体的理解和认识的响应程度：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对项目整体理解充分，认识到位的，得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对项目整体理解较充分的，得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4-3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对项目整体理解一般的，得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对项目整体理解不充分，认识不到位，得1分。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项目服务方案可行性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考查、对比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所投标项目服务方案的合理性、可行性：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项目服务方案合理、可行的，得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项目服务方案较合理、可行的，得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项目服务方案一般的，得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-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项目服务方案较差的，得1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-5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分。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highlight w:val="none"/>
              </w:rPr>
            </w:pPr>
            <w:r>
              <w:rPr>
                <w:rFonts w:ascii="仿宋_GB2312" w:hAnsi="宋体" w:eastAsia="仿宋_GB2312"/>
                <w:bCs/>
                <w:color w:val="auto"/>
                <w:sz w:val="24"/>
                <w:highlight w:val="none"/>
              </w:rPr>
              <w:t>项目重点、难点分析及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highlight w:val="none"/>
              </w:rPr>
              <w:t>解决办法</w:t>
            </w:r>
          </w:p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考查、对比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针对本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  <w:highlight w:val="none"/>
              </w:rPr>
              <w:t>提出的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项目重点、难点分析及应对措施：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项目重点、难点分析合理、得当、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  <w:highlight w:val="none"/>
              </w:rPr>
              <w:t>透彻，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应对措施具体、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可操作性强，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10-15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 xml:space="preserve">分； 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项目重点、难点分析较合理、得当、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  <w:highlight w:val="none"/>
              </w:rPr>
              <w:t>透彻，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应对措施较具体、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可操作性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强，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7-10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项目重点、难点分析一般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应对措施一般、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可操作性一般，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3-7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项目重点、难点分析较差</w:t>
            </w:r>
            <w:r>
              <w:rPr>
                <w:rFonts w:hint="eastAsia" w:ascii="仿宋_GB2312" w:hAnsi="宋体" w:eastAsia="仿宋_GB2312" w:cs="Calibri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应对措施较差、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可操作性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较差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项目全媒体宣传推广的渠道和覆盖面</w:t>
            </w:r>
          </w:p>
          <w:p>
            <w:pPr>
              <w:pStyle w:val="5"/>
              <w:spacing w:line="300" w:lineRule="exact"/>
              <w:jc w:val="center"/>
              <w:rPr>
                <w:rFonts w:hint="default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（5分）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考查、对比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针对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本项目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全媒体宣传推广的渠道和覆盖面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全媒体宣传推广渠道覆盖面广、充分利用主流媒体，得3-5分；</w:t>
            </w:r>
          </w:p>
          <w:p>
            <w:pPr>
              <w:pStyle w:val="5"/>
              <w:spacing w:line="300" w:lineRule="exact"/>
              <w:rPr>
                <w:rFonts w:hint="default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val="en-US" w:eastAsia="zh-CN"/>
              </w:rPr>
              <w:t>全媒体宣传推广渠道覆盖面合理、利用主流媒体得当，得1-3分；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highlight w:val="none"/>
              </w:rPr>
            </w:pPr>
            <w:r>
              <w:rPr>
                <w:rFonts w:ascii="仿宋_GB2312" w:hAnsi="宋体" w:eastAsia="仿宋_GB2312"/>
                <w:bCs/>
                <w:color w:val="auto"/>
                <w:sz w:val="24"/>
                <w:highlight w:val="none"/>
              </w:rPr>
              <w:t>对本项目开展的合理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highlight w:val="none"/>
              </w:rPr>
              <w:t>性</w:t>
            </w:r>
            <w:r>
              <w:rPr>
                <w:rFonts w:ascii="仿宋_GB2312" w:hAnsi="宋体" w:eastAsia="仿宋_GB2312"/>
                <w:bCs/>
                <w:color w:val="auto"/>
                <w:sz w:val="24"/>
                <w:highlight w:val="none"/>
              </w:rPr>
              <w:t>建议</w:t>
            </w:r>
          </w:p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考查、对比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针对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本项目开展的合理化建议：建议的针对性高，合理恰当，得8-10分；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建议的针对性较高，较合理恰当，得5-7分；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建议的针对性一般，得2-4分；</w:t>
            </w:r>
          </w:p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建议不具有针对性，不合理恰当，得1分。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管理服务评分</w:t>
            </w:r>
          </w:p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（40分）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符合资格条件</w:t>
            </w:r>
          </w:p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须符合本公告中第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eastAsia="zh-CN"/>
              </w:rPr>
              <w:t>七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项第1-7条所列明的资格条件要求，全部条件符合得20分；任一条件不符合即为0分。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报价指标</w:t>
            </w:r>
          </w:p>
          <w:p>
            <w:pPr>
              <w:pStyle w:val="5"/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满足文件要求且价格最低的有效报价为评标基准价，其价格分为20分。其他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  <w:lang w:eastAsia="zh-CN"/>
              </w:rPr>
              <w:t>供应方</w:t>
            </w: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的价格分统一按照下列公式计算：报价得分=（评标基准价/报价）*20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pBdr>
                <w:bottom w:val="single" w:color="auto" w:sz="6" w:space="1"/>
              </w:pBdr>
              <w:spacing w:line="300" w:lineRule="exact"/>
              <w:jc w:val="center"/>
              <w:rPr>
                <w:rFonts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  <w:t>合计得分</w:t>
            </w:r>
          </w:p>
        </w:tc>
        <w:tc>
          <w:tcPr>
            <w:tcW w:w="7440" w:type="dxa"/>
            <w:gridSpan w:val="3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仿宋_GB2312" w:hAnsi="宋体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napToGrid w:val="0"/>
        <w:spacing w:line="500" w:lineRule="exact"/>
        <w:ind w:right="600"/>
      </w:pPr>
      <w:r>
        <w:rPr>
          <w:rFonts w:hint="eastAsia" w:ascii="仿宋_GB2312" w:hAnsi="宋体" w:eastAsia="仿宋_GB2312" w:cs="Calibri"/>
          <w:color w:val="auto"/>
          <w:sz w:val="24"/>
          <w:highlight w:val="none"/>
        </w:rPr>
        <w:t>评分说明：总分满分为100分，评分方法为：总分=技术评分（满分为60分）+管理服务评分（满分为40分）。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48BF"/>
    <w:rsid w:val="371648BF"/>
    <w:rsid w:val="F7FFA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auto" w:fill="FFFFFF"/>
      <w:spacing w:before="280" w:after="280"/>
      <w:jc w:val="both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cs="Calibri"/>
      <w:kern w:val="0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Desktop/2025&#24180;&#8220;&#23569;&#24180;&#20013;&#22269;&#35828;&#8221;&#20840;&#29699;&#21326;&#35028;&#26032;&#29983;&#20195;&#20013;&#25991;&#26391;&#35829;&#22823;&#36187;&#21450;&#30740;&#23398;&#27963;&#21160;&#39033;&#30446;&#35780;&#23457;&#34920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2025年“少年中国说”全球华裔新生代中文朗诵大赛及研学活动项目评审表.dotx</Template>
  <Pages>2</Pages>
  <Words>859</Words>
  <Characters>917</Characters>
  <Lines>0</Lines>
  <Paragraphs>0</Paragraphs>
  <TotalTime>1</TotalTime>
  <ScaleCrop>false</ScaleCrop>
  <LinksUpToDate>false</LinksUpToDate>
  <CharactersWithSpaces>918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2024-12-27T11:30:00Z</dcterms:created>
  <dc:creator>greatwall</dc:creator>
  <cp:lastModifiedBy>greatwall</cp:lastModifiedBy>
  <dcterms:modified xsi:type="dcterms:W3CDTF">2024-12-27T11:30:34Z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3082BE88FDE4F9A64D1F6E6706C24991_41</vt:lpwstr>
  </property>
</Properties>
</file>