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spacing w:line="600" w:lineRule="exact"/>
        <w:rPr>
          <w:rFonts w:hint="eastAsia" w:ascii="Times New Roman" w:hAnsi="Times New Roman" w:eastAsia="仿宋_GB2312"/>
          <w:bCs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Cs/>
          <w:snapToGrid w:val="0"/>
          <w:kern w:val="0"/>
          <w:sz w:val="32"/>
          <w:szCs w:val="32"/>
        </w:rPr>
        <w:t>附件：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spacing w:line="600" w:lineRule="exact"/>
        <w:ind w:firstLine="0"/>
        <w:jc w:val="center"/>
        <w:rPr>
          <w:rFonts w:hint="eastAsia" w:ascii="Times New Roman" w:hAnsi="Times New Roman" w:eastAsia="仿宋_GB2312"/>
          <w:b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snapToGrid w:val="0"/>
          <w:kern w:val="0"/>
          <w:sz w:val="32"/>
          <w:szCs w:val="32"/>
        </w:rPr>
        <w:t>2025年</w:t>
      </w:r>
      <w:r>
        <w:rPr>
          <w:rFonts w:hint="eastAsia" w:eastAsia="仿宋_GB2312"/>
          <w:b/>
          <w:snapToGrid w:val="0"/>
          <w:kern w:val="0"/>
          <w:sz w:val="32"/>
          <w:szCs w:val="32"/>
          <w:lang w:eastAsia="zh-CN"/>
        </w:rPr>
        <w:t>侨务强市</w:t>
      </w:r>
      <w:r>
        <w:rPr>
          <w:rFonts w:hint="eastAsia" w:ascii="Times New Roman" w:hAnsi="Times New Roman" w:eastAsia="仿宋_GB2312"/>
          <w:b/>
          <w:snapToGrid w:val="0"/>
          <w:kern w:val="0"/>
          <w:sz w:val="32"/>
          <w:szCs w:val="32"/>
        </w:rPr>
        <w:t>项目评审表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spacing w:line="600" w:lineRule="exact"/>
        <w:ind w:firstLine="0"/>
        <w:jc w:val="left"/>
        <w:rPr>
          <w:rFonts w:ascii="Times New Roman" w:hAnsi="Times New Roman" w:eastAsia="仿宋_GB2312"/>
          <w:b/>
          <w:snapToGrid w:val="0"/>
          <w:kern w:val="0"/>
          <w:sz w:val="28"/>
          <w:szCs w:val="28"/>
        </w:rPr>
      </w:pPr>
      <w:r>
        <w:rPr>
          <w:rFonts w:hint="eastAsia" w:eastAsia="仿宋_GB2312"/>
          <w:b/>
          <w:snapToGrid w:val="0"/>
          <w:kern w:val="0"/>
          <w:sz w:val="28"/>
          <w:szCs w:val="28"/>
          <w:lang w:val="en-US" w:eastAsia="zh-CN"/>
        </w:rPr>
        <w:t>供应方</w:t>
      </w:r>
      <w:r>
        <w:rPr>
          <w:rFonts w:hint="eastAsia" w:ascii="Times New Roman" w:hAnsi="Times New Roman" w:eastAsia="仿宋_GB2312"/>
          <w:b/>
          <w:snapToGrid w:val="0"/>
          <w:kern w:val="0"/>
          <w:sz w:val="28"/>
          <w:szCs w:val="28"/>
        </w:rPr>
        <w:t>名称：</w:t>
      </w:r>
    </w:p>
    <w:tbl>
      <w:tblPr>
        <w:tblStyle w:val="8"/>
        <w:tblW w:w="8685" w:type="dxa"/>
        <w:tblInd w:w="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720"/>
        <w:gridCol w:w="4726"/>
        <w:gridCol w:w="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00" w:lineRule="exact"/>
              <w:jc w:val="center"/>
              <w:rPr>
                <w:rFonts w:ascii="仿宋_GB2312" w:hAnsi="宋体" w:eastAsia="仿宋_GB2312" w:cs="Calibri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Calibri"/>
                <w:b/>
                <w:sz w:val="24"/>
                <w:szCs w:val="24"/>
              </w:rPr>
              <w:t>评分项目/权重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00" w:lineRule="exact"/>
              <w:jc w:val="center"/>
              <w:rPr>
                <w:rFonts w:ascii="仿宋_GB2312" w:hAnsi="宋体" w:eastAsia="仿宋_GB2312" w:cs="Calibri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Calibri"/>
                <w:b/>
                <w:sz w:val="24"/>
                <w:szCs w:val="24"/>
              </w:rPr>
              <w:t>评标因素</w:t>
            </w:r>
          </w:p>
        </w:tc>
        <w:tc>
          <w:tcPr>
            <w:tcW w:w="472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00" w:lineRule="exact"/>
              <w:jc w:val="center"/>
              <w:rPr>
                <w:rFonts w:ascii="仿宋_GB2312" w:hAnsi="宋体" w:eastAsia="仿宋_GB2312" w:cs="Calibri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Calibri"/>
                <w:b/>
                <w:sz w:val="24"/>
                <w:szCs w:val="24"/>
              </w:rPr>
              <w:t>评标指标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宋体" w:eastAsia="仿宋_GB2312" w:cs="Calibri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Calibri"/>
                <w:b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45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0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技术评分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00" w:lineRule="exact"/>
              <w:jc w:val="center"/>
              <w:rPr>
                <w:rFonts w:ascii="仿宋_GB2312" w:hAnsi="宋体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（6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分）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0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0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项目理解程度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0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15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分）</w:t>
            </w:r>
          </w:p>
        </w:tc>
        <w:tc>
          <w:tcPr>
            <w:tcW w:w="4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00" w:lineRule="exact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考查、对比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供应方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对项目整体的理解和认识的响应程度：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00" w:lineRule="exact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对项目整体理解充分，认识到位的，得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分；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00" w:lineRule="exact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对项目整体理解较充分的，得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4-3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分；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00" w:lineRule="exact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对项目整体理解一般的，得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分；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00" w:lineRule="exact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对项目整体理解不充分，认识不到位，得1分。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0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4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pBdr>
                <w:bottom w:val="single" w:color="auto" w:sz="6" w:space="1"/>
              </w:pBdr>
              <w:kinsoku/>
              <w:wordWrap w:val="0"/>
              <w:overflowPunct/>
              <w:topLinePunct w:val="0"/>
              <w:bidi w:val="0"/>
              <w:spacing w:line="30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0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项目服务方案可行性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0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分）</w:t>
            </w:r>
          </w:p>
        </w:tc>
        <w:tc>
          <w:tcPr>
            <w:tcW w:w="4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00" w:lineRule="exact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考查、对比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供应方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所投标项目服务方案的合理性、可行性：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00" w:lineRule="exact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项目服务方案合理、可行的，得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15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-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分；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00" w:lineRule="exact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项目服务方案较合理、可行的，得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-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15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分；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00" w:lineRule="exact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项目服务方案一般的，得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-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分；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00" w:lineRule="exact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项目服务方案较差的，得1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-5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分。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0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4" w:hRule="atLeast"/>
        </w:trPr>
        <w:tc>
          <w:tcPr>
            <w:tcW w:w="124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pBdr>
                <w:bottom w:val="single" w:color="auto" w:sz="6" w:space="1"/>
              </w:pBdr>
              <w:kinsoku/>
              <w:wordWrap w:val="0"/>
              <w:overflowPunct/>
              <w:topLinePunct w:val="0"/>
              <w:bidi w:val="0"/>
              <w:spacing w:line="300" w:lineRule="exact"/>
              <w:jc w:val="center"/>
              <w:rPr>
                <w:rFonts w:ascii="仿宋_GB2312" w:hAnsi="宋体" w:eastAsia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00" w:lineRule="exact"/>
              <w:rPr>
                <w:color w:val="auto"/>
              </w:rPr>
            </w:pPr>
            <w:r>
              <w:rPr>
                <w:rFonts w:ascii="仿宋_GB2312" w:hAnsi="宋体" w:eastAsia="仿宋_GB2312"/>
                <w:bCs/>
                <w:color w:val="auto"/>
                <w:sz w:val="24"/>
              </w:rPr>
              <w:t>项目重点、难点分析及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解决办法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00" w:lineRule="exact"/>
              <w:jc w:val="center"/>
              <w:rPr>
                <w:rFonts w:ascii="仿宋_GB2312" w:hAnsi="宋体" w:eastAsia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Calibri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仿宋_GB2312" w:hAnsi="宋体" w:eastAsia="仿宋_GB2312" w:cs="Calibri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_GB2312" w:hAnsi="宋体" w:eastAsia="仿宋_GB2312" w:cs="Calibri"/>
                <w:color w:val="auto"/>
                <w:sz w:val="24"/>
                <w:szCs w:val="24"/>
              </w:rPr>
              <w:t>分）</w:t>
            </w:r>
          </w:p>
        </w:tc>
        <w:tc>
          <w:tcPr>
            <w:tcW w:w="4726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00" w:lineRule="exact"/>
              <w:rPr>
                <w:rFonts w:ascii="仿宋_GB2312" w:hAnsi="宋体" w:eastAsia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考查、对比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供应方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针对本</w:t>
            </w:r>
            <w:r>
              <w:rPr>
                <w:rFonts w:hint="eastAsia" w:ascii="仿宋_GB2312" w:hAnsi="宋体" w:eastAsia="仿宋_GB2312" w:cs="Calibri"/>
                <w:color w:val="auto"/>
                <w:sz w:val="24"/>
                <w:szCs w:val="24"/>
              </w:rPr>
              <w:t>项目</w:t>
            </w:r>
            <w:r>
              <w:rPr>
                <w:rFonts w:hint="eastAsia" w:ascii="仿宋_GB2312" w:hAnsi="宋体" w:eastAsia="仿宋_GB2312" w:cs="Calibri"/>
                <w:color w:val="auto"/>
                <w:kern w:val="0"/>
                <w:sz w:val="24"/>
                <w:szCs w:val="24"/>
              </w:rPr>
              <w:t>提出的</w:t>
            </w:r>
            <w:r>
              <w:rPr>
                <w:rFonts w:hint="eastAsia" w:ascii="仿宋_GB2312" w:hAnsi="宋体" w:eastAsia="仿宋_GB2312" w:cs="Calibri"/>
                <w:color w:val="auto"/>
                <w:sz w:val="24"/>
                <w:szCs w:val="24"/>
              </w:rPr>
              <w:t>项目重点、难点分析及应对措施：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00" w:lineRule="exact"/>
              <w:rPr>
                <w:rFonts w:hint="eastAsia" w:ascii="仿宋_GB2312" w:hAnsi="宋体" w:eastAsia="仿宋_GB2312" w:cs="Calibri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Calibri"/>
                <w:color w:val="auto"/>
                <w:sz w:val="24"/>
                <w:szCs w:val="24"/>
              </w:rPr>
              <w:t>项目重点、难点分析合理、得当、</w:t>
            </w:r>
            <w:r>
              <w:rPr>
                <w:rFonts w:hint="eastAsia" w:ascii="仿宋_GB2312" w:hAnsi="宋体" w:eastAsia="仿宋_GB2312" w:cs="Calibri"/>
                <w:color w:val="auto"/>
                <w:kern w:val="0"/>
                <w:sz w:val="24"/>
                <w:szCs w:val="24"/>
              </w:rPr>
              <w:t>透彻，</w:t>
            </w:r>
            <w:r>
              <w:rPr>
                <w:rFonts w:hint="eastAsia" w:ascii="仿宋_GB2312" w:hAnsi="宋体" w:eastAsia="仿宋_GB2312" w:cs="Calibri"/>
                <w:color w:val="auto"/>
                <w:sz w:val="24"/>
                <w:szCs w:val="24"/>
              </w:rPr>
              <w:t>应对措施具体、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可操作性强，</w:t>
            </w:r>
            <w:r>
              <w:rPr>
                <w:rFonts w:hint="eastAsia" w:ascii="仿宋_GB2312" w:hAnsi="宋体" w:eastAsia="仿宋_GB2312" w:cs="Calibri"/>
                <w:color w:val="auto"/>
                <w:sz w:val="24"/>
                <w:szCs w:val="24"/>
              </w:rPr>
              <w:t>得</w:t>
            </w:r>
            <w:r>
              <w:rPr>
                <w:rFonts w:hint="eastAsia" w:ascii="仿宋_GB2312" w:hAnsi="宋体" w:eastAsia="仿宋_GB2312" w:cs="Calibri"/>
                <w:color w:val="auto"/>
                <w:sz w:val="24"/>
                <w:szCs w:val="24"/>
                <w:lang w:val="en-US" w:eastAsia="zh-CN"/>
              </w:rPr>
              <w:t>10-15</w:t>
            </w:r>
            <w:r>
              <w:rPr>
                <w:rFonts w:hint="eastAsia" w:ascii="仿宋_GB2312" w:hAnsi="宋体" w:eastAsia="仿宋_GB2312" w:cs="Calibri"/>
                <w:color w:val="auto"/>
                <w:sz w:val="24"/>
                <w:szCs w:val="24"/>
              </w:rPr>
              <w:t>分；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00" w:lineRule="exact"/>
              <w:rPr>
                <w:rFonts w:ascii="仿宋_GB2312" w:hAnsi="宋体" w:eastAsia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Calibri"/>
                <w:color w:val="auto"/>
                <w:sz w:val="24"/>
                <w:szCs w:val="24"/>
              </w:rPr>
              <w:t>项目重点、难点分析较合理、得当、</w:t>
            </w:r>
            <w:r>
              <w:rPr>
                <w:rFonts w:hint="eastAsia" w:ascii="仿宋_GB2312" w:hAnsi="宋体" w:eastAsia="仿宋_GB2312" w:cs="Calibri"/>
                <w:color w:val="auto"/>
                <w:kern w:val="0"/>
                <w:sz w:val="24"/>
                <w:szCs w:val="24"/>
              </w:rPr>
              <w:t>透彻，</w:t>
            </w:r>
            <w:r>
              <w:rPr>
                <w:rFonts w:hint="eastAsia" w:ascii="仿宋_GB2312" w:hAnsi="宋体" w:eastAsia="仿宋_GB2312" w:cs="Calibri"/>
                <w:color w:val="auto"/>
                <w:sz w:val="24"/>
                <w:szCs w:val="24"/>
              </w:rPr>
              <w:t>应对措施较具体、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可操作性</w:t>
            </w:r>
            <w:r>
              <w:rPr>
                <w:rFonts w:hint="eastAsia" w:ascii="仿宋_GB2312" w:hAnsi="宋体" w:eastAsia="仿宋_GB2312" w:cs="Calibri"/>
                <w:color w:val="auto"/>
                <w:sz w:val="24"/>
                <w:szCs w:val="24"/>
              </w:rPr>
              <w:t>较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强，</w:t>
            </w:r>
            <w:r>
              <w:rPr>
                <w:rFonts w:hint="eastAsia" w:ascii="仿宋_GB2312" w:hAnsi="宋体" w:eastAsia="仿宋_GB2312" w:cs="Calibri"/>
                <w:color w:val="auto"/>
                <w:sz w:val="24"/>
                <w:szCs w:val="24"/>
              </w:rPr>
              <w:t>得</w:t>
            </w:r>
            <w:r>
              <w:rPr>
                <w:rFonts w:hint="eastAsia" w:ascii="仿宋_GB2312" w:hAnsi="宋体" w:eastAsia="仿宋_GB2312" w:cs="Calibri"/>
                <w:color w:val="auto"/>
                <w:sz w:val="24"/>
                <w:szCs w:val="24"/>
                <w:lang w:val="en-US" w:eastAsia="zh-CN"/>
              </w:rPr>
              <w:t>7-10</w:t>
            </w:r>
            <w:r>
              <w:rPr>
                <w:rFonts w:hint="eastAsia" w:ascii="仿宋_GB2312" w:hAnsi="宋体" w:eastAsia="仿宋_GB2312" w:cs="Calibri"/>
                <w:color w:val="auto"/>
                <w:sz w:val="24"/>
                <w:szCs w:val="24"/>
              </w:rPr>
              <w:t>分；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00" w:lineRule="exact"/>
              <w:rPr>
                <w:rFonts w:ascii="仿宋_GB2312" w:hAnsi="宋体" w:eastAsia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Calibri"/>
                <w:color w:val="auto"/>
                <w:sz w:val="24"/>
                <w:szCs w:val="24"/>
              </w:rPr>
              <w:t>项目重点、难点分析一般</w:t>
            </w:r>
            <w:r>
              <w:rPr>
                <w:rFonts w:hint="eastAsia" w:ascii="仿宋_GB2312" w:hAnsi="宋体" w:eastAsia="仿宋_GB2312" w:cs="Calibri"/>
                <w:color w:val="auto"/>
                <w:kern w:val="0"/>
                <w:sz w:val="24"/>
                <w:szCs w:val="24"/>
              </w:rPr>
              <w:t>，</w:t>
            </w:r>
            <w:r>
              <w:rPr>
                <w:rFonts w:hint="eastAsia" w:ascii="仿宋_GB2312" w:hAnsi="宋体" w:eastAsia="仿宋_GB2312" w:cs="Calibri"/>
                <w:color w:val="auto"/>
                <w:sz w:val="24"/>
                <w:szCs w:val="24"/>
              </w:rPr>
              <w:t>应对措施一般、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可操作性一般，</w:t>
            </w:r>
            <w:r>
              <w:rPr>
                <w:rFonts w:hint="eastAsia" w:ascii="仿宋_GB2312" w:hAnsi="宋体" w:eastAsia="仿宋_GB2312" w:cs="Calibri"/>
                <w:color w:val="auto"/>
                <w:sz w:val="24"/>
                <w:szCs w:val="24"/>
              </w:rPr>
              <w:t>得</w:t>
            </w:r>
            <w:r>
              <w:rPr>
                <w:rFonts w:hint="eastAsia" w:ascii="仿宋_GB2312" w:hAnsi="宋体" w:eastAsia="仿宋_GB2312" w:cs="Calibri"/>
                <w:color w:val="auto"/>
                <w:sz w:val="24"/>
                <w:szCs w:val="24"/>
                <w:lang w:val="en-US" w:eastAsia="zh-CN"/>
              </w:rPr>
              <w:t>3-7</w:t>
            </w:r>
            <w:r>
              <w:rPr>
                <w:rFonts w:hint="eastAsia" w:ascii="仿宋_GB2312" w:hAnsi="宋体" w:eastAsia="仿宋_GB2312" w:cs="Calibri"/>
                <w:color w:val="auto"/>
                <w:sz w:val="24"/>
                <w:szCs w:val="24"/>
              </w:rPr>
              <w:t>分；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00" w:lineRule="exact"/>
              <w:rPr>
                <w:rFonts w:ascii="仿宋_GB2312" w:hAnsi="宋体" w:eastAsia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Calibri"/>
                <w:color w:val="auto"/>
                <w:sz w:val="24"/>
                <w:szCs w:val="24"/>
              </w:rPr>
              <w:t>项目重点、难点分析较差</w:t>
            </w:r>
            <w:r>
              <w:rPr>
                <w:rFonts w:hint="eastAsia" w:ascii="仿宋_GB2312" w:hAnsi="宋体" w:eastAsia="仿宋_GB2312" w:cs="Calibri"/>
                <w:color w:val="auto"/>
                <w:kern w:val="0"/>
                <w:sz w:val="24"/>
                <w:szCs w:val="24"/>
              </w:rPr>
              <w:t>，</w:t>
            </w:r>
            <w:r>
              <w:rPr>
                <w:rFonts w:hint="eastAsia" w:ascii="仿宋_GB2312" w:hAnsi="宋体" w:eastAsia="仿宋_GB2312" w:cs="Calibri"/>
                <w:color w:val="auto"/>
                <w:sz w:val="24"/>
                <w:szCs w:val="24"/>
              </w:rPr>
              <w:t>应对措施较差、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可操作性</w:t>
            </w:r>
            <w:r>
              <w:rPr>
                <w:rFonts w:hint="eastAsia" w:ascii="仿宋_GB2312" w:hAnsi="宋体" w:eastAsia="仿宋_GB2312" w:cs="Calibri"/>
                <w:color w:val="auto"/>
                <w:sz w:val="24"/>
                <w:szCs w:val="24"/>
              </w:rPr>
              <w:t>较差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，</w:t>
            </w:r>
            <w:r>
              <w:rPr>
                <w:rFonts w:hint="eastAsia" w:ascii="仿宋_GB2312" w:hAnsi="宋体" w:eastAsia="仿宋_GB2312" w:cs="Calibri"/>
                <w:color w:val="auto"/>
                <w:sz w:val="24"/>
                <w:szCs w:val="24"/>
              </w:rPr>
              <w:t>得</w:t>
            </w:r>
            <w:r>
              <w:rPr>
                <w:rFonts w:hint="eastAsia" w:ascii="仿宋_GB2312" w:hAnsi="宋体" w:eastAsia="仿宋_GB2312" w:cs="Calibri"/>
                <w:color w:val="auto"/>
                <w:sz w:val="24"/>
                <w:szCs w:val="24"/>
                <w:lang w:val="en-US" w:eastAsia="zh-CN"/>
              </w:rPr>
              <w:t>1-3</w:t>
            </w:r>
            <w:r>
              <w:rPr>
                <w:rFonts w:hint="eastAsia" w:ascii="仿宋_GB2312" w:hAnsi="宋体" w:eastAsia="仿宋_GB2312" w:cs="Calibri"/>
                <w:color w:val="auto"/>
                <w:sz w:val="24"/>
                <w:szCs w:val="24"/>
              </w:rPr>
              <w:t>分。</w:t>
            </w:r>
          </w:p>
        </w:tc>
        <w:tc>
          <w:tcPr>
            <w:tcW w:w="994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00" w:lineRule="exact"/>
              <w:rPr>
                <w:rFonts w:hint="eastAsia" w:ascii="仿宋_GB2312" w:hAnsi="宋体" w:eastAsia="仿宋_GB2312" w:cs="Calibri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4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pBdr>
                <w:bottom w:val="single" w:color="auto" w:sz="6" w:space="1"/>
              </w:pBdr>
              <w:kinsoku/>
              <w:wordWrap w:val="0"/>
              <w:overflowPunct/>
              <w:topLinePunct w:val="0"/>
              <w:bidi w:val="0"/>
              <w:spacing w:line="300" w:lineRule="exact"/>
              <w:jc w:val="center"/>
              <w:rPr>
                <w:rFonts w:ascii="仿宋_GB2312" w:hAnsi="宋体" w:eastAsia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宋体" w:eastAsia="仿宋_GB2312" w:cs="Calibri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Calibri"/>
                <w:color w:val="auto"/>
                <w:sz w:val="24"/>
                <w:szCs w:val="24"/>
                <w:lang w:val="en-US" w:eastAsia="zh-CN"/>
              </w:rPr>
              <w:t>项目全媒体宣传推广的渠道和覆盖面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仿宋_GB2312" w:hAnsi="宋体" w:eastAsia="仿宋_GB2312" w:cs="Calibri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Calibri"/>
                <w:color w:val="auto"/>
                <w:sz w:val="24"/>
                <w:szCs w:val="24"/>
                <w:lang w:val="en-US" w:eastAsia="zh-CN"/>
              </w:rPr>
              <w:t>（5分）</w:t>
            </w:r>
          </w:p>
        </w:tc>
        <w:tc>
          <w:tcPr>
            <w:tcW w:w="4726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00" w:lineRule="exact"/>
              <w:rPr>
                <w:rFonts w:hint="eastAsia" w:ascii="仿宋_GB2312" w:hAnsi="宋体" w:eastAsia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考查、对比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供应方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针对</w:t>
            </w:r>
            <w:r>
              <w:rPr>
                <w:rFonts w:hint="eastAsia" w:ascii="仿宋_GB2312" w:hAnsi="宋体" w:eastAsia="仿宋_GB2312" w:cs="Calibri"/>
                <w:color w:val="auto"/>
                <w:sz w:val="24"/>
                <w:szCs w:val="24"/>
              </w:rPr>
              <w:t>本项目</w:t>
            </w:r>
            <w:r>
              <w:rPr>
                <w:rFonts w:hint="eastAsia" w:ascii="仿宋_GB2312" w:hAnsi="宋体" w:eastAsia="仿宋_GB2312" w:cs="Calibri"/>
                <w:color w:val="auto"/>
                <w:sz w:val="24"/>
                <w:szCs w:val="24"/>
                <w:lang w:val="en-US" w:eastAsia="zh-CN"/>
              </w:rPr>
              <w:t>全媒体宣传推广的渠道和覆盖面</w:t>
            </w:r>
            <w:r>
              <w:rPr>
                <w:rFonts w:hint="eastAsia" w:ascii="仿宋_GB2312" w:hAnsi="宋体" w:eastAsia="仿宋_GB2312" w:cs="Calibri"/>
                <w:color w:val="auto"/>
                <w:sz w:val="24"/>
                <w:szCs w:val="24"/>
              </w:rPr>
              <w:t>：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00" w:lineRule="exact"/>
              <w:rPr>
                <w:rFonts w:hint="eastAsia" w:ascii="仿宋_GB2312" w:hAnsi="宋体" w:eastAsia="仿宋_GB2312" w:cs="Calibri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Calibri"/>
                <w:color w:val="auto"/>
                <w:sz w:val="24"/>
                <w:szCs w:val="24"/>
                <w:lang w:val="en-US" w:eastAsia="zh-CN"/>
              </w:rPr>
              <w:t>全媒体宣传推广渠道覆盖面广、充分利用主流媒体，得3-5分；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00" w:lineRule="exact"/>
              <w:rPr>
                <w:rFonts w:hint="default" w:ascii="仿宋_GB2312" w:hAnsi="宋体" w:eastAsia="仿宋_GB2312" w:cs="Calibri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Calibri"/>
                <w:color w:val="auto"/>
                <w:sz w:val="24"/>
                <w:szCs w:val="24"/>
                <w:lang w:val="en-US" w:eastAsia="zh-CN"/>
              </w:rPr>
              <w:t>全媒体宣传推广渠道覆盖面合理、利用主流媒体得当，得1-3分；</w:t>
            </w:r>
          </w:p>
        </w:tc>
        <w:tc>
          <w:tcPr>
            <w:tcW w:w="994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00" w:lineRule="exact"/>
              <w:rPr>
                <w:rFonts w:hint="eastAsia" w:ascii="仿宋_GB2312" w:hAnsi="宋体" w:eastAsia="仿宋_GB2312" w:cs="Calibri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4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pBdr>
                <w:bottom w:val="single" w:color="auto" w:sz="6" w:space="1"/>
              </w:pBdr>
              <w:kinsoku/>
              <w:wordWrap w:val="0"/>
              <w:overflowPunct/>
              <w:topLinePunct w:val="0"/>
              <w:bidi w:val="0"/>
              <w:spacing w:line="300" w:lineRule="exact"/>
              <w:jc w:val="center"/>
              <w:rPr>
                <w:rFonts w:ascii="仿宋_GB2312" w:hAnsi="宋体" w:eastAsia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00" w:lineRule="exact"/>
              <w:rPr>
                <w:color w:val="auto"/>
              </w:rPr>
            </w:pPr>
            <w:r>
              <w:rPr>
                <w:rFonts w:ascii="仿宋_GB2312" w:hAnsi="宋体" w:eastAsia="仿宋_GB2312"/>
                <w:bCs/>
                <w:color w:val="auto"/>
                <w:sz w:val="24"/>
              </w:rPr>
              <w:t>对本项目开展的合理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性</w:t>
            </w:r>
            <w:r>
              <w:rPr>
                <w:rFonts w:ascii="仿宋_GB2312" w:hAnsi="宋体" w:eastAsia="仿宋_GB2312"/>
                <w:bCs/>
                <w:color w:val="auto"/>
                <w:sz w:val="24"/>
              </w:rPr>
              <w:t>建议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00" w:lineRule="exact"/>
              <w:jc w:val="center"/>
              <w:rPr>
                <w:rFonts w:ascii="仿宋_GB2312" w:hAnsi="宋体" w:eastAsia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Calibri"/>
                <w:color w:val="auto"/>
                <w:sz w:val="24"/>
                <w:szCs w:val="24"/>
              </w:rPr>
              <w:t>（10分）</w:t>
            </w:r>
          </w:p>
        </w:tc>
        <w:tc>
          <w:tcPr>
            <w:tcW w:w="4726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00" w:lineRule="exact"/>
              <w:rPr>
                <w:rFonts w:ascii="仿宋_GB2312" w:hAnsi="宋体" w:eastAsia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考查、对比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供应方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针对</w:t>
            </w:r>
            <w:r>
              <w:rPr>
                <w:rFonts w:hint="eastAsia" w:ascii="仿宋_GB2312" w:hAnsi="宋体" w:eastAsia="仿宋_GB2312" w:cs="Calibri"/>
                <w:color w:val="auto"/>
                <w:sz w:val="24"/>
                <w:szCs w:val="24"/>
              </w:rPr>
              <w:t>本项目开展的合理化建议：建议的针对性高，合理恰当，得8-10分；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00" w:lineRule="exact"/>
              <w:rPr>
                <w:rFonts w:ascii="仿宋_GB2312" w:hAnsi="宋体" w:eastAsia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Calibri"/>
                <w:color w:val="auto"/>
                <w:sz w:val="24"/>
                <w:szCs w:val="24"/>
              </w:rPr>
              <w:t>建议的针对性较高，较合理恰当，得5-7分；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00" w:lineRule="exact"/>
              <w:rPr>
                <w:rFonts w:ascii="仿宋_GB2312" w:hAnsi="宋体" w:eastAsia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Calibri"/>
                <w:color w:val="auto"/>
                <w:sz w:val="24"/>
                <w:szCs w:val="24"/>
              </w:rPr>
              <w:t>建议的针对性一般，得2-4分；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00" w:lineRule="exact"/>
              <w:rPr>
                <w:rFonts w:ascii="仿宋_GB2312" w:hAnsi="宋体" w:eastAsia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Calibri"/>
                <w:color w:val="auto"/>
                <w:sz w:val="24"/>
                <w:szCs w:val="24"/>
              </w:rPr>
              <w:t>建议不具有针对性，不合理恰当，得1分。</w:t>
            </w:r>
          </w:p>
        </w:tc>
        <w:tc>
          <w:tcPr>
            <w:tcW w:w="994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00" w:lineRule="exact"/>
              <w:rPr>
                <w:rFonts w:hint="eastAsia" w:ascii="仿宋_GB2312" w:hAnsi="宋体" w:eastAsia="仿宋_GB2312" w:cs="Calibri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45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pBdr>
                <w:bottom w:val="single" w:color="auto" w:sz="6" w:space="1"/>
              </w:pBdr>
              <w:kinsoku/>
              <w:wordWrap w:val="0"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宋体" w:eastAsia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Calibri"/>
                <w:color w:val="auto"/>
                <w:sz w:val="24"/>
                <w:szCs w:val="24"/>
              </w:rPr>
              <w:t>管理服务评分</w:t>
            </w:r>
          </w:p>
          <w:p>
            <w:pPr>
              <w:pStyle w:val="5"/>
              <w:keepNext w:val="0"/>
              <w:keepLines w:val="0"/>
              <w:pageBreakBefore w:val="0"/>
              <w:pBdr>
                <w:bottom w:val="single" w:color="auto" w:sz="6" w:space="1"/>
              </w:pBdr>
              <w:kinsoku/>
              <w:wordWrap w:val="0"/>
              <w:overflowPunct/>
              <w:topLinePunct w:val="0"/>
              <w:bidi w:val="0"/>
              <w:spacing w:line="300" w:lineRule="exact"/>
              <w:jc w:val="center"/>
              <w:rPr>
                <w:rFonts w:ascii="仿宋_GB2312" w:hAnsi="宋体" w:eastAsia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Calibri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仿宋_GB2312" w:hAnsi="宋体" w:eastAsia="仿宋_GB2312" w:cs="Calibri"/>
                <w:color w:val="auto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_GB2312" w:hAnsi="宋体" w:eastAsia="仿宋_GB2312" w:cs="Calibri"/>
                <w:color w:val="auto"/>
                <w:sz w:val="24"/>
                <w:szCs w:val="24"/>
              </w:rPr>
              <w:t>分）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宋体" w:eastAsia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Calibri"/>
                <w:color w:val="auto"/>
                <w:sz w:val="24"/>
                <w:szCs w:val="24"/>
              </w:rPr>
              <w:t>符合资格条件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00" w:lineRule="exact"/>
              <w:jc w:val="center"/>
              <w:rPr>
                <w:rFonts w:ascii="仿宋_GB2312" w:hAnsi="宋体" w:eastAsia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Calibri"/>
                <w:color w:val="auto"/>
                <w:sz w:val="24"/>
                <w:szCs w:val="24"/>
              </w:rPr>
              <w:t>（20分）</w:t>
            </w:r>
          </w:p>
        </w:tc>
        <w:tc>
          <w:tcPr>
            <w:tcW w:w="4726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00" w:lineRule="exact"/>
              <w:rPr>
                <w:rFonts w:ascii="仿宋_GB2312" w:hAnsi="宋体" w:eastAsia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Calibri"/>
                <w:color w:val="auto"/>
                <w:sz w:val="24"/>
                <w:szCs w:val="24"/>
                <w:lang w:eastAsia="zh-CN"/>
              </w:rPr>
              <w:t>供应方</w:t>
            </w:r>
            <w:r>
              <w:rPr>
                <w:rFonts w:hint="eastAsia" w:ascii="仿宋_GB2312" w:hAnsi="宋体" w:eastAsia="仿宋_GB2312" w:cs="Calibri"/>
                <w:color w:val="auto"/>
                <w:sz w:val="24"/>
                <w:szCs w:val="24"/>
              </w:rPr>
              <w:t>须符合本公告中第</w:t>
            </w:r>
            <w:r>
              <w:rPr>
                <w:rFonts w:hint="eastAsia" w:ascii="仿宋_GB2312" w:hAnsi="宋体" w:eastAsia="仿宋_GB2312" w:cs="Calibri"/>
                <w:color w:val="auto"/>
                <w:sz w:val="24"/>
                <w:szCs w:val="24"/>
                <w:lang w:eastAsia="zh-CN"/>
              </w:rPr>
              <w:t>七</w:t>
            </w:r>
            <w:r>
              <w:rPr>
                <w:rFonts w:hint="eastAsia" w:ascii="仿宋_GB2312" w:hAnsi="宋体" w:eastAsia="仿宋_GB2312" w:cs="Calibri"/>
                <w:color w:val="auto"/>
                <w:sz w:val="24"/>
                <w:szCs w:val="24"/>
              </w:rPr>
              <w:t>项第1-7条所列明的资格条件要求，全部条件符合得20分；任一条件不符合即为0分。</w:t>
            </w:r>
          </w:p>
        </w:tc>
        <w:tc>
          <w:tcPr>
            <w:tcW w:w="994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00" w:lineRule="exact"/>
              <w:rPr>
                <w:rFonts w:hint="eastAsia" w:ascii="仿宋_GB2312" w:hAnsi="宋体" w:eastAsia="仿宋_GB2312" w:cs="Calibri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4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pBdr>
                <w:bottom w:val="single" w:color="auto" w:sz="6" w:space="1"/>
              </w:pBdr>
              <w:kinsoku/>
              <w:wordWrap w:val="0"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宋体" w:eastAsia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宋体" w:eastAsia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Calibri"/>
                <w:color w:val="auto"/>
                <w:sz w:val="24"/>
                <w:szCs w:val="24"/>
              </w:rPr>
              <w:t>报价指标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00" w:lineRule="exact"/>
              <w:jc w:val="center"/>
              <w:rPr>
                <w:rFonts w:ascii="仿宋_GB2312" w:hAnsi="宋体" w:eastAsia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Calibri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仿宋_GB2312" w:hAnsi="宋体" w:eastAsia="仿宋_GB2312" w:cs="Calibri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_GB2312" w:hAnsi="宋体" w:eastAsia="仿宋_GB2312" w:cs="Calibri"/>
                <w:color w:val="auto"/>
                <w:sz w:val="24"/>
                <w:szCs w:val="24"/>
              </w:rPr>
              <w:t>分）</w:t>
            </w:r>
          </w:p>
        </w:tc>
        <w:tc>
          <w:tcPr>
            <w:tcW w:w="4726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00" w:lineRule="exact"/>
              <w:rPr>
                <w:rFonts w:hint="default" w:ascii="仿宋_GB2312" w:hAnsi="宋体" w:eastAsia="仿宋_GB2312" w:cs="Calibri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Calibri"/>
                <w:color w:val="auto"/>
                <w:sz w:val="24"/>
                <w:szCs w:val="24"/>
              </w:rPr>
              <w:t>满足文件要求且价格最低的有效报价为评标基准价，其价格分为</w:t>
            </w:r>
            <w:r>
              <w:rPr>
                <w:rFonts w:hint="eastAsia" w:ascii="仿宋_GB2312" w:hAnsi="宋体" w:eastAsia="仿宋_GB2312" w:cs="Calibri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_GB2312" w:hAnsi="宋体" w:eastAsia="仿宋_GB2312" w:cs="Calibri"/>
                <w:color w:val="auto"/>
                <w:sz w:val="24"/>
                <w:szCs w:val="24"/>
              </w:rPr>
              <w:t>分。其他</w:t>
            </w:r>
            <w:r>
              <w:rPr>
                <w:rFonts w:hint="eastAsia" w:ascii="仿宋_GB2312" w:hAnsi="宋体" w:eastAsia="仿宋_GB2312" w:cs="Calibri"/>
                <w:color w:val="auto"/>
                <w:sz w:val="24"/>
                <w:szCs w:val="24"/>
                <w:lang w:eastAsia="zh-CN"/>
              </w:rPr>
              <w:t>供应方</w:t>
            </w:r>
            <w:r>
              <w:rPr>
                <w:rFonts w:hint="eastAsia" w:ascii="仿宋_GB2312" w:hAnsi="宋体" w:eastAsia="仿宋_GB2312" w:cs="Calibri"/>
                <w:color w:val="auto"/>
                <w:sz w:val="24"/>
                <w:szCs w:val="24"/>
              </w:rPr>
              <w:t>的价格分统一按照下列公式计算：报价得分=（评标基准价/报价）*</w:t>
            </w:r>
            <w:r>
              <w:rPr>
                <w:rFonts w:hint="eastAsia" w:ascii="仿宋_GB2312" w:hAnsi="宋体" w:eastAsia="仿宋_GB2312" w:cs="Calibri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994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00" w:lineRule="exact"/>
              <w:rPr>
                <w:rFonts w:hint="eastAsia" w:ascii="仿宋_GB2312" w:hAnsi="宋体" w:eastAsia="仿宋_GB2312" w:cs="Calibri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124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pBdr>
                <w:bottom w:val="single" w:color="auto" w:sz="6" w:space="1"/>
              </w:pBdr>
              <w:kinsoku/>
              <w:wordWrap w:val="0"/>
              <w:overflowPunct/>
              <w:topLinePunct w:val="0"/>
              <w:bidi w:val="0"/>
              <w:spacing w:line="300" w:lineRule="exact"/>
              <w:jc w:val="center"/>
              <w:rPr>
                <w:rFonts w:ascii="仿宋_GB2312" w:hAnsi="宋体" w:eastAsia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Calibri"/>
                <w:color w:val="auto"/>
                <w:sz w:val="24"/>
                <w:szCs w:val="24"/>
              </w:rPr>
              <w:t>合计得分</w:t>
            </w:r>
          </w:p>
        </w:tc>
        <w:tc>
          <w:tcPr>
            <w:tcW w:w="7440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00" w:lineRule="exact"/>
              <w:rPr>
                <w:rFonts w:hint="eastAsia" w:ascii="仿宋_GB2312" w:hAnsi="宋体" w:eastAsia="仿宋_GB2312" w:cs="Calibri"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snapToGrid w:val="0"/>
        <w:spacing w:line="500" w:lineRule="exact"/>
        <w:ind w:right="600"/>
      </w:pPr>
      <w:r>
        <w:rPr>
          <w:rFonts w:hint="eastAsia" w:ascii="仿宋_GB2312" w:hAnsi="宋体" w:eastAsia="仿宋_GB2312" w:cs="Calibri"/>
          <w:color w:val="auto"/>
          <w:sz w:val="24"/>
        </w:rPr>
        <w:t>评分说明：总分满分为100分，评分方法为：总分=技术评分（满分为6</w:t>
      </w:r>
      <w:r>
        <w:rPr>
          <w:rFonts w:hint="eastAsia" w:ascii="仿宋_GB2312" w:hAnsi="宋体" w:eastAsia="仿宋_GB2312" w:cs="Calibri"/>
          <w:color w:val="auto"/>
          <w:sz w:val="24"/>
          <w:lang w:val="en-US" w:eastAsia="zh-CN"/>
        </w:rPr>
        <w:t>5</w:t>
      </w:r>
      <w:r>
        <w:rPr>
          <w:rFonts w:hint="eastAsia" w:ascii="仿宋_GB2312" w:hAnsi="宋体" w:eastAsia="仿宋_GB2312" w:cs="Calibri"/>
          <w:color w:val="auto"/>
          <w:sz w:val="24"/>
        </w:rPr>
        <w:t>分）+管理服务评分（满分为</w:t>
      </w:r>
      <w:r>
        <w:rPr>
          <w:rFonts w:hint="eastAsia" w:ascii="仿宋_GB2312" w:hAnsi="宋体" w:eastAsia="仿宋_GB2312" w:cs="Calibri"/>
          <w:color w:val="auto"/>
          <w:sz w:val="24"/>
          <w:lang w:val="en-US" w:eastAsia="zh-CN"/>
        </w:rPr>
        <w:t>35</w:t>
      </w:r>
      <w:r>
        <w:rPr>
          <w:rFonts w:hint="eastAsia" w:ascii="仿宋_GB2312" w:hAnsi="宋体" w:eastAsia="仿宋_GB2312" w:cs="Calibri"/>
          <w:color w:val="auto"/>
          <w:sz w:val="24"/>
        </w:rPr>
        <w:t>分）。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Times New Roman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62F55E8"/>
    <w:rsid w:val="F62F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unhideWhenUsed/>
    <w:qFormat/>
    <w:uiPriority w:val="99"/>
    <w:pPr>
      <w:spacing w:after="120" w:line="480" w:lineRule="auto"/>
      <w:ind w:left="420" w:leftChars="200"/>
    </w:pPr>
  </w:style>
  <w:style w:type="paragraph" w:customStyle="1" w:styleId="3">
    <w:name w:val="reader-word-layer reader-word-s46-2"/>
    <w:next w:val="4"/>
    <w:qFormat/>
    <w:uiPriority w:val="0"/>
    <w:pPr>
      <w:spacing w:before="280" w:after="280"/>
      <w:jc w:val="both"/>
    </w:pPr>
    <w:rPr>
      <w:rFonts w:ascii="宋体" w:hAnsi="宋体" w:eastAsia="宋体" w:cs="宋体"/>
      <w:color w:val="000000"/>
      <w:kern w:val="2"/>
      <w:sz w:val="24"/>
      <w:szCs w:val="24"/>
      <w:lang w:val="en-US" w:eastAsia="zh-CN" w:bidi="ar-SA"/>
    </w:rPr>
  </w:style>
  <w:style w:type="paragraph" w:customStyle="1" w:styleId="4">
    <w:name w:val="xl35"/>
    <w:next w:val="1"/>
    <w:qFormat/>
    <w:uiPriority w:val="0"/>
    <w:pPr>
      <w:shd w:val="clear" w:color="auto" w:fill="FFFFFF"/>
      <w:spacing w:before="280" w:after="280"/>
      <w:jc w:val="both"/>
    </w:pPr>
    <w:rPr>
      <w:rFonts w:ascii="Arial Unicode MS" w:hAnsi="Arial Unicode MS" w:eastAsia="Arial Unicode MS" w:cs="Arial Unicode MS"/>
      <w:color w:val="000000"/>
      <w:kern w:val="2"/>
      <w:sz w:val="24"/>
      <w:szCs w:val="24"/>
      <w:lang w:val="en-US" w:eastAsia="zh-CN" w:bidi="ar-SA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Date"/>
    <w:basedOn w:val="1"/>
    <w:next w:val="1"/>
    <w:qFormat/>
    <w:uiPriority w:val="0"/>
    <w:pPr>
      <w:autoSpaceDE w:val="0"/>
      <w:autoSpaceDN w:val="0"/>
      <w:adjustRightInd w:val="0"/>
      <w:textAlignment w:val="baseline"/>
    </w:pPr>
    <w:rPr>
      <w:rFonts w:ascii="宋体" w:hAnsi="Times New Roman" w:cs="Calibri"/>
      <w:kern w:val="0"/>
      <w:sz w:val="28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2025-11-06T10:14:00Z</dcterms:created>
  <dc:creator>greatwall</dc:creator>
  <cp:lastModifiedBy>greatwall</cp:lastModifiedBy>
  <dcterms:modified xsi:type="dcterms:W3CDTF">2025-11-06T10:14:43Z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8CD9EAB869A4D4446F040C69D22CC685</vt:lpwstr>
  </property>
</Properties>
</file>