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仿宋_GB2312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Cs/>
          <w:snapToGrid w:val="0"/>
          <w:kern w:val="0"/>
          <w:sz w:val="32"/>
          <w:szCs w:val="32"/>
        </w:rPr>
        <w:t>附件：</w:t>
      </w:r>
    </w:p>
    <w:p>
      <w:pPr>
        <w:spacing w:line="600" w:lineRule="exact"/>
        <w:ind w:firstLine="0"/>
        <w:jc w:val="center"/>
        <w:rPr>
          <w:rFonts w:hint="eastAsia" w:ascii="Times New Roman" w:hAnsi="Times New Roman" w:eastAsia="仿宋_GB2312"/>
          <w:b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snapToGrid w:val="0"/>
          <w:kern w:val="0"/>
          <w:sz w:val="32"/>
          <w:szCs w:val="32"/>
          <w:lang w:val="en-US" w:eastAsia="zh-CN"/>
        </w:rPr>
        <w:t>202</w:t>
      </w:r>
      <w:r>
        <w:rPr>
          <w:rFonts w:hint="eastAsia" w:eastAsia="仿宋_GB2312"/>
          <w:b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b/>
          <w:snapToGrid w:val="0"/>
          <w:kern w:val="0"/>
          <w:sz w:val="32"/>
          <w:szCs w:val="32"/>
          <w:lang w:val="en-US" w:eastAsia="zh-CN"/>
        </w:rPr>
        <w:t>年江门华侨华人服务中心运维</w:t>
      </w:r>
      <w:r>
        <w:rPr>
          <w:rFonts w:hint="eastAsia" w:ascii="Times New Roman" w:hAnsi="Times New Roman" w:eastAsia="仿宋_GB2312"/>
          <w:b/>
          <w:snapToGrid w:val="0"/>
          <w:kern w:val="0"/>
          <w:sz w:val="32"/>
          <w:szCs w:val="32"/>
        </w:rPr>
        <w:t>项目评审表</w:t>
      </w:r>
      <w:bookmarkStart w:id="0" w:name="_GoBack"/>
      <w:bookmarkEnd w:id="0"/>
    </w:p>
    <w:p>
      <w:pPr>
        <w:spacing w:line="600" w:lineRule="exact"/>
        <w:ind w:firstLine="0"/>
        <w:jc w:val="left"/>
        <w:rPr>
          <w:rFonts w:ascii="Times New Roman" w:hAnsi="Times New Roman" w:eastAsia="仿宋_GB2312"/>
          <w:b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snapToGrid w:val="0"/>
          <w:kern w:val="0"/>
          <w:sz w:val="28"/>
          <w:szCs w:val="28"/>
        </w:rPr>
        <w:t>投标人名称：</w:t>
      </w:r>
    </w:p>
    <w:tbl>
      <w:tblPr>
        <w:tblStyle w:val="9"/>
        <w:tblW w:w="868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720"/>
        <w:gridCol w:w="4726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仿宋_GB2312" w:hAnsi="宋体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4"/>
              </w:rPr>
              <w:t>评分项目/权重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仿宋_GB2312" w:hAnsi="宋体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4"/>
              </w:rPr>
              <w:t>评标因素</w:t>
            </w:r>
          </w:p>
        </w:tc>
        <w:tc>
          <w:tcPr>
            <w:tcW w:w="4726" w:type="dxa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仿宋_GB2312" w:hAnsi="宋体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4"/>
              </w:rPr>
              <w:t>评标指标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仿宋_GB2312" w:hAnsi="宋体" w:eastAsia="仿宋_GB2312" w:cs="Calibri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技术评分</w:t>
            </w:r>
          </w:p>
          <w:p>
            <w:pPr>
              <w:pStyle w:val="7"/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（60分）</w:t>
            </w:r>
          </w:p>
          <w:p>
            <w:pPr>
              <w:pStyle w:val="7"/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项目理解程度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分）</w:t>
            </w:r>
          </w:p>
        </w:tc>
        <w:tc>
          <w:tcPr>
            <w:tcW w:w="47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考查、对比投标人对项目整体的理解和认识的响应程度：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对项目整体理解充分，认识到位的，得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分；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对项目整体理解较充分的，得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4-3</w:t>
            </w:r>
            <w:r>
              <w:rPr>
                <w:rFonts w:hint="eastAsia" w:ascii="仿宋_GB2312" w:hAnsi="宋体" w:eastAsia="仿宋_GB2312"/>
                <w:sz w:val="24"/>
              </w:rPr>
              <w:t>分；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对项目整体理解一般的，得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分；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对项目整体理解不充分，认识不到位，得1分。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pBdr>
                <w:bottom w:val="single" w:color="auto" w:sz="6" w:space="1"/>
              </w:pBd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项目服务方案可行性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（10分）</w:t>
            </w:r>
          </w:p>
        </w:tc>
        <w:tc>
          <w:tcPr>
            <w:tcW w:w="47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考查、对比投标人所投标项目服务方案的合理性、可行性：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项目服务方案合理、可行的，得8-10分；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项目服务方案较合理、可行的，得5-7分；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项目服务方案一般的，得2-4分；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项目服务方案较差的，得1分。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2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pBdr>
                <w:bottom w:val="single" w:color="auto" w:sz="6" w:space="1"/>
              </w:pBd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培训条件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（10分）</w:t>
            </w:r>
          </w:p>
        </w:tc>
        <w:tc>
          <w:tcPr>
            <w:tcW w:w="4726" w:type="dxa"/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dstrike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考查、对比投标人的教学资源及培训条件：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教学资源及培训条件高的，得8-10分；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教学资源及培训条件较高的，得6-7分；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教学资源及培训条件一般的，得3-5分；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教学资源及培训条件较差的，得1-2分。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4" w:hRule="atLeast"/>
        </w:trPr>
        <w:tc>
          <w:tcPr>
            <w:tcW w:w="12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pBdr>
                <w:bottom w:val="single" w:color="auto" w:sz="6" w:space="1"/>
              </w:pBdr>
              <w:spacing w:line="300" w:lineRule="exact"/>
              <w:jc w:val="center"/>
              <w:rPr>
                <w:rFonts w:ascii="仿宋_GB2312" w:hAnsi="宋体" w:eastAsia="仿宋_GB2312" w:cs="Calibri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300" w:lineRule="exact"/>
            </w:pPr>
            <w:r>
              <w:rPr>
                <w:rFonts w:ascii="仿宋_GB2312" w:hAnsi="宋体" w:eastAsia="仿宋_GB2312"/>
                <w:bCs/>
                <w:sz w:val="24"/>
              </w:rPr>
              <w:t>项目重点、难点分析及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解决办法</w:t>
            </w:r>
          </w:p>
          <w:p>
            <w:pPr>
              <w:pStyle w:val="6"/>
              <w:spacing w:line="300" w:lineRule="exact"/>
              <w:jc w:val="center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分）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pStyle w:val="6"/>
              <w:spacing w:line="300" w:lineRule="exact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考查、对比投标人针对本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项目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提出的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项目重点、难点分析及应对措施：</w:t>
            </w:r>
          </w:p>
          <w:p>
            <w:pPr>
              <w:pStyle w:val="6"/>
              <w:spacing w:line="300" w:lineRule="exact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项目重点、难点分析合理、得当、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透彻，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应对措施具体、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可操作性强，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得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  <w:t>10-15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 xml:space="preserve">分； </w:t>
            </w:r>
          </w:p>
          <w:p>
            <w:pPr>
              <w:pStyle w:val="6"/>
              <w:spacing w:line="300" w:lineRule="exact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项目重点、难点分析较合理、得当、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透彻，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应对措施较具体、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可操作性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强，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得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  <w:t>7-10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分；</w:t>
            </w:r>
          </w:p>
          <w:p>
            <w:pPr>
              <w:pStyle w:val="6"/>
              <w:spacing w:line="300" w:lineRule="exact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项目重点、难点分析一般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应对措施一般、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可操作性一般，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得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  <w:t>3-7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分；</w:t>
            </w:r>
          </w:p>
          <w:p>
            <w:pPr>
              <w:pStyle w:val="6"/>
              <w:spacing w:line="300" w:lineRule="exact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项目重点、难点分析较差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应对措施较差、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可操作性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较差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得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  <w:t>1-3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分。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6"/>
              <w:spacing w:line="300" w:lineRule="exact"/>
              <w:rPr>
                <w:rFonts w:hint="eastAsia" w:ascii="仿宋_GB2312" w:hAnsi="宋体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2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pBdr>
                <w:bottom w:val="single" w:color="auto" w:sz="6" w:space="1"/>
              </w:pBdr>
              <w:spacing w:line="300" w:lineRule="exact"/>
              <w:jc w:val="center"/>
              <w:rPr>
                <w:rFonts w:ascii="仿宋_GB2312" w:hAnsi="宋体" w:eastAsia="仿宋_GB2312" w:cs="Calibri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  <w:t>项目全媒体宣传推广的渠道和覆盖面</w:t>
            </w:r>
          </w:p>
          <w:p>
            <w:pPr>
              <w:pStyle w:val="6"/>
              <w:spacing w:line="300" w:lineRule="exact"/>
              <w:jc w:val="center"/>
              <w:rPr>
                <w:rFonts w:hint="default" w:ascii="仿宋_GB2312" w:hAnsi="宋体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pStyle w:val="6"/>
              <w:spacing w:line="300" w:lineRule="exact"/>
              <w:rPr>
                <w:rFonts w:hint="eastAsia"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考查、对比投标人针对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本项目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  <w:t>全媒体宣传推广的渠道和覆盖面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：</w:t>
            </w:r>
          </w:p>
          <w:p>
            <w:pPr>
              <w:pStyle w:val="6"/>
              <w:spacing w:line="300" w:lineRule="exact"/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  <w:t>全媒体宣传推广渠道覆盖面广、充分利用主流媒体，得8-10分；</w:t>
            </w:r>
          </w:p>
          <w:p>
            <w:pPr>
              <w:pStyle w:val="6"/>
              <w:spacing w:line="300" w:lineRule="exact"/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  <w:t>全媒体宣传推广渠道覆盖面合理、利用主流媒体得当，得6-8分；</w:t>
            </w:r>
          </w:p>
          <w:p>
            <w:pPr>
              <w:pStyle w:val="6"/>
              <w:spacing w:line="300" w:lineRule="exact"/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  <w:t>全媒体宣传推广渠道覆盖面一般、利用主流媒体一般，得3-6分；</w:t>
            </w:r>
          </w:p>
          <w:p>
            <w:pPr>
              <w:pStyle w:val="6"/>
              <w:spacing w:line="300" w:lineRule="exact"/>
              <w:rPr>
                <w:rFonts w:hint="default" w:ascii="仿宋_GB2312" w:hAnsi="宋体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  <w:lang w:val="en-US" w:eastAsia="zh-CN"/>
              </w:rPr>
              <w:t>全媒体宣传推广渠道覆盖面较差、利用主流媒体较差，得1-3分；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6"/>
              <w:spacing w:line="300" w:lineRule="exact"/>
              <w:rPr>
                <w:rFonts w:hint="eastAsia" w:ascii="仿宋_GB2312" w:hAnsi="宋体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pBdr>
                <w:bottom w:val="single" w:color="auto" w:sz="6" w:space="1"/>
              </w:pBdr>
              <w:spacing w:line="300" w:lineRule="exact"/>
              <w:jc w:val="center"/>
              <w:rPr>
                <w:rFonts w:ascii="仿宋_GB2312" w:hAnsi="宋体" w:eastAsia="仿宋_GB2312" w:cs="Calibri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pacing w:line="300" w:lineRule="exact"/>
            </w:pPr>
            <w:r>
              <w:rPr>
                <w:rFonts w:ascii="仿宋_GB2312" w:hAnsi="宋体" w:eastAsia="仿宋_GB2312"/>
                <w:bCs/>
                <w:sz w:val="24"/>
              </w:rPr>
              <w:t>对本项目开展的合理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性</w:t>
            </w:r>
            <w:r>
              <w:rPr>
                <w:rFonts w:ascii="仿宋_GB2312" w:hAnsi="宋体" w:eastAsia="仿宋_GB2312"/>
                <w:bCs/>
                <w:sz w:val="24"/>
              </w:rPr>
              <w:t>建议</w:t>
            </w:r>
          </w:p>
          <w:p>
            <w:pPr>
              <w:pStyle w:val="6"/>
              <w:spacing w:line="300" w:lineRule="exact"/>
              <w:jc w:val="center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（10分）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pStyle w:val="6"/>
              <w:spacing w:line="300" w:lineRule="exact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考查、对比投标人针对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本项目开展的合理化建议：建议的针对性高，合理恰当，得8-10分；</w:t>
            </w:r>
          </w:p>
          <w:p>
            <w:pPr>
              <w:pStyle w:val="6"/>
              <w:spacing w:line="300" w:lineRule="exact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建议的针对性较高，较合理恰当，得5-7分；</w:t>
            </w:r>
          </w:p>
          <w:p>
            <w:pPr>
              <w:pStyle w:val="6"/>
              <w:spacing w:line="300" w:lineRule="exact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建议的针对性一般，得2-4分；</w:t>
            </w:r>
          </w:p>
          <w:p>
            <w:pPr>
              <w:pStyle w:val="6"/>
              <w:spacing w:line="300" w:lineRule="exact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建议不具有针对性，不合理恰当，得1分。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6"/>
              <w:spacing w:line="300" w:lineRule="exact"/>
              <w:rPr>
                <w:rFonts w:hint="eastAsia" w:ascii="仿宋_GB2312" w:hAnsi="宋体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pBdr>
                <w:bottom w:val="single" w:color="auto" w:sz="6" w:space="1"/>
              </w:pBdr>
              <w:spacing w:line="300" w:lineRule="exact"/>
              <w:jc w:val="center"/>
              <w:rPr>
                <w:rFonts w:hint="eastAsia"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管理服务评分</w:t>
            </w:r>
          </w:p>
          <w:p>
            <w:pPr>
              <w:pStyle w:val="6"/>
              <w:pBdr>
                <w:bottom w:val="single" w:color="auto" w:sz="6" w:space="1"/>
              </w:pBdr>
              <w:spacing w:line="300" w:lineRule="exact"/>
              <w:jc w:val="center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（40分）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符合资格条件</w:t>
            </w:r>
          </w:p>
          <w:p>
            <w:pPr>
              <w:pStyle w:val="6"/>
              <w:spacing w:line="300" w:lineRule="exact"/>
              <w:jc w:val="center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（20分）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pStyle w:val="6"/>
              <w:spacing w:line="300" w:lineRule="exact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投标人须符合本公告中第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项第1-7条所列明的资格条件要求，全部条件符合得20分；任一条件不符合即为0分。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6"/>
              <w:spacing w:line="300" w:lineRule="exact"/>
              <w:rPr>
                <w:rFonts w:hint="eastAsia" w:ascii="仿宋_GB2312" w:hAnsi="宋体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pBdr>
                <w:bottom w:val="single" w:color="auto" w:sz="6" w:space="1"/>
              </w:pBdr>
              <w:spacing w:line="300" w:lineRule="exact"/>
              <w:jc w:val="center"/>
              <w:rPr>
                <w:rFonts w:hint="eastAsia" w:ascii="仿宋_GB2312" w:hAnsi="宋体" w:eastAsia="仿宋_GB2312" w:cs="Calibri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报价指标</w:t>
            </w:r>
          </w:p>
          <w:p>
            <w:pPr>
              <w:pStyle w:val="6"/>
              <w:spacing w:line="300" w:lineRule="exact"/>
              <w:jc w:val="center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（20分）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pStyle w:val="6"/>
              <w:spacing w:line="300" w:lineRule="exact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满足文件要求且咨询价格最低的有效咨询报价为评标基准价，其价格分为20分。其他投标人的价格分统一按照下列公式计算：咨询报价得分=（评标基准价/咨询报价）*20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6"/>
              <w:spacing w:line="300" w:lineRule="exact"/>
              <w:rPr>
                <w:rFonts w:hint="eastAsia" w:ascii="仿宋_GB2312" w:hAnsi="宋体" w:eastAsia="仿宋_GB2312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1" w:hRule="atLeast"/>
        </w:trPr>
        <w:tc>
          <w:tcPr>
            <w:tcW w:w="12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pBdr>
                <w:bottom w:val="single" w:color="auto" w:sz="6" w:space="1"/>
              </w:pBdr>
              <w:spacing w:line="300" w:lineRule="exact"/>
              <w:jc w:val="center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sz w:val="24"/>
                <w:szCs w:val="24"/>
              </w:rPr>
              <w:t>合计得分</w:t>
            </w:r>
          </w:p>
        </w:tc>
        <w:tc>
          <w:tcPr>
            <w:tcW w:w="7440" w:type="dxa"/>
            <w:gridSpan w:val="3"/>
            <w:noWrap w:val="0"/>
            <w:vAlign w:val="center"/>
          </w:tcPr>
          <w:p>
            <w:pPr>
              <w:pStyle w:val="6"/>
              <w:spacing w:line="300" w:lineRule="exact"/>
              <w:rPr>
                <w:rFonts w:hint="eastAsia" w:ascii="仿宋_GB2312" w:hAnsi="宋体" w:eastAsia="仿宋_GB2312" w:cs="Calibri"/>
                <w:sz w:val="24"/>
                <w:szCs w:val="24"/>
              </w:rPr>
            </w:pPr>
          </w:p>
        </w:tc>
      </w:tr>
    </w:tbl>
    <w:p>
      <w:pPr>
        <w:snapToGrid w:val="0"/>
        <w:spacing w:line="500" w:lineRule="exact"/>
        <w:ind w:right="600"/>
        <w:rPr>
          <w:rFonts w:hint="eastAsia"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Calibri"/>
          <w:sz w:val="24"/>
        </w:rPr>
        <w:t>评分说明：总分满分为100分，评分方法为：总分=技术评分（满分为60分）+管理服务评分（满分为40分）。</w:t>
      </w:r>
    </w:p>
    <w:p>
      <w:pPr>
        <w:snapToGrid w:val="0"/>
        <w:spacing w:line="500" w:lineRule="exact"/>
        <w:ind w:right="600"/>
        <w:rPr>
          <w:rFonts w:ascii="Times New Roman" w:hAnsi="Times New Roman" w:eastAsia="仿宋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OSi/s/IAQAAmQMAAA4AAAAAAAAAAQAg&#10;AAAANAEAAGRycy9lMm9Eb2MueG1sUEsBAhQAFAAAAAgAh07iQM6pebnPAAAABQ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F68C1"/>
    <w:rsid w:val="1A9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spacing w:after="120" w:line="480" w:lineRule="auto"/>
      <w:ind w:left="420" w:leftChars="200"/>
    </w:p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auto" w:fill="FFFFFF"/>
      <w:spacing w:before="280" w:after="280"/>
      <w:jc w:val="both"/>
    </w:pPr>
    <w:rPr>
      <w:rFonts w:ascii="Arial Unicode MS" w:hAnsi="Arial Unicode MS" w:eastAsia="Arial Unicode MS" w:cs="Arial Unicode MS"/>
      <w:color w:val="000000"/>
      <w:kern w:val="2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 w:cs="Calibri"/>
      <w:kern w:val="0"/>
      <w:sz w:val="34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cs="Calibri"/>
      <w:kern w:val="0"/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2025-11-06T09:37:00Z</dcterms:created>
  <dc:creator>greatwall</dc:creator>
  <cp:lastModifiedBy>greatwall</cp:lastModifiedBy>
  <dcterms:modified xsi:type="dcterms:W3CDTF">2025-11-06T09:38:39Z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E66F9532D82252EBF2FB0B695C02B3F7</vt:lpwstr>
  </property>
</Properties>
</file>